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sz w:val="22"/>
          <w:szCs w:val="20"/>
          <w:spacing w:val="0"/>
        </w:rPr>
        <w:t>Estilo de aprendizaje, según Witkin</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Según señala Quiroga (citada por Quiroga y Rodríguez, 2002) uno</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de los estilos de aprendizaje más estudiados se refiere a la dependencia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 independencia de campo de Witkin. Éstos están caracterizados por ser</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bipolares, y porque uno de ellos percibe el estímulo como un todo, globaliza, el otro percibe distintas partes y es analítico, ambos poseen</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igualdad de ventajas y desventajas.</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En el cuadro 2, se resume la propuesta de estilo de aprendizaje</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de Witkin citado por diferentes autores. El estilo cognitivo es la manera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como el sujeto percibe un objeto, influenciado por la tarea que enfrenta,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no hay bueno ni malo (Perdomo, 1999).</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Existen muchos trabajos de investigación que han buscado la relación entre diferentes estilos cognitivos y la utilización de una estrategia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instruccional en particular en muchos de ellos se muestra que no hay difeRevista de Investigación Nº 58. 2005 88</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Santiago Castro y Belkys Guzmán de Castro</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KOLB, H</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(1976)</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Convergente</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Es aquel que busca la aplicación práctica de las ideas, sus conocimientos están organizados y puede resolver problemas específicos mediante razonamiento hipot ético -deductivo.</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sz w:val="22"/>
          <w:szCs w:val="20"/>
          <w:spacing w:val="0"/>
        </w:rPr>
        <w:t>Divergente</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Es aquel que tienen alto potencial imaginativo y flexible, tiende a considerar las situaciones concretas desde muchas perspectivas</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sz w:val="22"/>
          <w:szCs w:val="20"/>
          <w:spacing w:val="0"/>
        </w:rPr>
        <w:t>Asimilador</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Es aquel que posee la facultad de crear modelos t écnicos, se interesa mas por los conceptos abstractos que por las personas, menos a ún por la aplicación práctica.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sz w:val="22"/>
          <w:szCs w:val="20"/>
          <w:spacing w:val="0"/>
        </w:rPr>
        <w:t>Acomodador</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Es aquel que tiene preferencia por hacer cosas, proyectos o experimentos, se adapta e involucra f ácilmente a situaciones nuevas, es el más arriesgado de los estilos. creencia significativa entre los dos tipos de estilos de aprendizaje y la estrategia utilizada aunque dependiendo del tipo de tarea existe ganancia en el aprendizaje de alguno de ellos. Cabe destacar, que la escuela propicia en cierta forma la dependencia de campo, tanto en las actividades de clases como en la vida diaria.</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Cuadro 2. Estilos de Aprendizaje de Witkin</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Tomado de Mato, (1992), Alonso, Gallegos y Honey, (1994) y Perdomo, (1999)</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sz w:val="22"/>
          <w:szCs w:val="20"/>
          <w:spacing w:val="0"/>
        </w:rPr>
        <w:t>Estilos o sistemas de representación</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Para Barbe, Swassing y Milone (citados por Mato, 1992) quienes trabajaron con estilos de aprendizaje relacionados con la percepción sensorial, consideran tres tipos de modalidades, también llamados formas de percibir, estilos o sistemas de representación: Visual, Auditivo y Kinestésico.</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89 Revista de Inv</w:t>
      </w:r>
    </w:p>
    <w:p>
      <w:pPr>
        <w:ind w:leftChars="0" w:left="0" w:rightChars="0" w:right="0" w:firstLineChars="0" w:firstLine="0"/>
        <w:autoSpaceDE w:val="off"/>
        <w:autoSpaceDN w:val="off"/>
        <w:wordWrap/>
        <w:jc w:val="both"/>
        <w:spacing w:after="200" w:before="0" w:line="276" w:lineRule="auto"/>
        <w:rPr>
          <w:lang w:val="es"/>
          <w:b w:val="0"/>
          <w:sz w:val="22"/>
          <w:szCs w:val="20"/>
          <w:spacing w:val="0"/>
        </w:rPr>
      </w:pPr>
      <w:r>
        <w:rPr>
          <w:lang w:val="es"/>
          <w:b w:val="0"/>
          <w:sz w:val="22"/>
          <w:szCs w:val="20"/>
          <w:spacing w:val="0"/>
        </w:rPr>
        <w:t>Los Visuales son aquellos que perciben y aprenden mejor viendo, manejando fácilmente la información escrita, gustan de las descripciones, recuerdan las caras más no los nombres, visualizar las cosas detalladamente; el auditivo es aquel que emplea la voz y oídos como principal canal para el aprendizaje, no tiene visión global recuerda sonidos,  los nombres más no las caras, no visualiza detalles; mientras que el kinestésico - táctil, se refiere a que para poder aprender es necesario palpar a través del tacto, actuar y hacer productos y proyectos (Aprender a aprender, 2002 a).</w:t>
      </w:r>
    </w:p>
    <w:p>
      <w:pPr>
        <w:ind w:leftChars="0" w:left="0" w:rightChars="0" w:right="0" w:firstLineChars="0" w:firstLine="0"/>
        <w:autoSpaceDE w:val="off"/>
        <w:autoSpaceDN w:val="off"/>
        <w:wordWrap/>
        <w:jc w:val="both"/>
        <w:spacing w:after="200" w:before="0" w:line="276" w:lineRule="auto"/>
        <w:rPr>
          <w:lang w:val="es"/>
          <w:rFonts w:ascii="Arial" w:eastAsia="Arial" w:hAnsi="Arial" w:cs="Arial"/>
          <w:b w:val="0"/>
          <w:sz w:val="22"/>
          <w:szCs w:val="20"/>
          <w:spacing w:val="0"/>
        </w:rPr>
      </w:pPr>
      <w:r>
        <w:rPr>
          <w:lang w:val="es"/>
          <w:b w:val="0"/>
          <w:sz w:val="22"/>
          <w:szCs w:val="20"/>
          <w:spacing w:val="0"/>
        </w:rPr>
        <w:t xml:space="preserve">Todos los sujetos poseen todas estas modalidades, en cierta medida de hecho pueden ser desarrolladas, a medida que se usan para mejorar nuestra percepción. Algunas veces éstas han sido inhibidas en la historia de vida del sujeto, por ejemplo las madres le señalaban muy a menudo a sus hijos </w:t>
      </w:r>
      <w:r>
        <w:rPr>
          <w:lang w:val="es"/>
          <w:rFonts w:ascii="Arial" w:eastAsia="Arial" w:hAnsi="Arial" w:cs="Arial"/>
          <w:b w:val="0"/>
          <w:sz w:val="22"/>
          <w:szCs w:val="20"/>
          <w:spacing w:val="0"/>
        </w:rPr>
        <w:t>– “no hables”, “escucha” - cosa que se hace en todo momento en la escuela cuando se ha educado mediante un enfoque conductista – “toque con los ojos” - sin permitirle al sujeto desarrollar sus canales de percepción, en su lugar solo provocaban paralizarlos, no emitiendo ningún tipo de respuesta ante un estímulo similar. Es importante identificar estos canales de percepción ya que así se optimiza al máximo la labor docente.</w:t>
      </w:r>
    </w:p>
    <w:p>
      <w:pPr>
        <w:ind w:leftChars="0" w:left="0" w:rightChars="0" w:right="0" w:firstLineChars="0" w:firstLine="0"/>
        <w:autoSpaceDE w:val="off"/>
        <w:autoSpaceDN w:val="off"/>
        <w:wordWrap/>
        <w:jc w:val="both"/>
        <w:spacing w:after="200" w:before="0" w:line="276" w:lineRule="auto"/>
        <w:rPr>
          <w:lang w:val="es"/>
          <w:rFonts w:ascii="Arial" w:eastAsia="Arial" w:hAnsi="Arial" w:cs="Arial"/>
          <w:b w:val="0"/>
          <w:sz w:val="22"/>
          <w:szCs w:val="20"/>
          <w:spacing w:val="0"/>
        </w:rPr>
      </w:pPr>
      <w:r>
        <w:rPr>
          <w:lang w:val="es"/>
          <w:rFonts w:ascii="Arial" w:eastAsia="Arial" w:hAnsi="Arial" w:cs="Arial"/>
          <w:b w:val="0"/>
          <w:sz w:val="22"/>
          <w:szCs w:val="20"/>
          <w:spacing w:val="0"/>
        </w:rPr>
        <w:t>Para identificar las diferentes representaciones en los estudiantes es necesario observar. El visual almacena información rápidamente y en cualquier orden, muestra sus emociones en la cara. El auditivo almacena información en bloques y en forma secuencial mueve sus labios al leer y  se distrae con facilidad mientras que el kinestésico gusta de tocar todo, expresa sus emociones con movimientos. En definitiva hay que observar y registrar sus expresiones para poder asumir una posición como docente y tomar decisiones en el momento de planificar y ejecutar las estrategias instruccionales.</w:t>
      </w:r>
    </w:p>
    <w:sectPr>
      <w:pgSz w:w="11906" w:h="16838"/>
      <w:pgMar w:top="1985" w:right="1701" w:bottom="1701" w:left="1701" w:header="720" w:footer="720" w:gutter="0"/>
      <w:cols/>
      <w:docGrid w:linePitch="360"/>
      <w:footnotePr/>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notTrueType w:val="false"/>
    <w:sig w:usb0="00007A87" w:usb1="80000000" w:usb2="00000008" w:usb3="00000001" w:csb0="400001FF" w:csb1="FFFF0000"/>
  </w:font>
  <w:font w:name="Times New Roman">
    <w:panose1 w:val="02020603050405020304"/>
    <w:notTrueType w:val="false"/>
    <w:sig w:usb0="00007A87" w:usb1="80000000" w:usb2="00000008"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view w:val="normal"/>
  <w:zoom w:percent="100"/>
  <w:removePersonalInformation/>
  <w:bordersDontSurroundHeader/>
  <w:bordersDontSurroundFooter/>
  <w:hideGrammaticalErrors/>
  <w:proofState w:spelling="clean" w:grammar="clean"/>
  <w:doNotUseMarginsForDrawingGridOrigin/>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doNotWrapTextWithPunct/>
    <w:doNotUseEastAsianBreakRules/>
    <w:useWord2002TableStyleRules/>
    <w:growAutofit/>
    <w:useFELayout/>
    <w:doNotUseIndentAsNumberingTabStop/>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 w:eastAsia="" w:bidi=""/>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auto"/>
        <w:sz w:val="24"/>
      </w:rPr>
    </w:rPrDefault>
    <w:pPrDefault>
      <w:pPr>
        <w:jc w:val="left"/>
        <w:spacing w:line="240" w:lineRule="auto"/>
      </w:pPr>
    </w:pPrDefault>
  </w:docDefault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rPr>
      <w:rFonts w:eastAsia="Times New Roman" w:hint="default"/>
    </w:rP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SM-G965U1</cp:lastModifiedBy>
  <cp:revision>1</cp:revision>
  <cp:version>04.2000</cp:version>
</cp:coreProperties>
</file>